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游ゴシック" w:cs="游ゴシック" w:eastAsia="游ゴシック" w:hAnsi="游ゴシック"/>
          <w:b/>
          <w:bCs/>
          <w:color w:val="C75D3E"/>
          <w:sz w:val="40"/>
          <w:szCs w:val="40"/>
        </w:rPr>
        <w:t xml:space="preserve">業務引き継ぎ書</w:t>
      </w:r>
    </w:p>
    <w:p>
      <w:pPr>
        <w:spacing w:after="200"/>
        <w:jc w:val="center"/>
      </w:pPr>
      <w:r>
        <w:rPr>
          <w:rFonts w:ascii="游ゴシック" w:cs="游ゴシック" w:eastAsia="游ゴシック" w:hAnsi="游ゴシック"/>
          <w:color w:val="5F7079"/>
          <w:sz w:val="18"/>
          <w:szCs w:val="18"/>
        </w:rPr>
        <w:t xml:space="preserve">「なぜ」が書いてあれば、例外が起きても判断できる。毎年1回、作り直さずに育てる引き継ぎ書。</w:t>
      </w:r>
    </w:p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基本情報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2200"/>
        <w:gridCol w:w="26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業務の担当（部署）</w:t>
            </w:r>
          </w:p>
        </w:tc>
        <w:tc>
          <w:tcPr>
            <w:tcW w:type="dxa" w:w="26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作成日</w:t>
            </w:r>
          </w:p>
        </w:tc>
        <w:tc>
          <w:tcPr>
            <w:tcW w:type="dxa" w:w="26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2200"/>
        <w:gridCol w:w="26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前任者</w:t>
            </w:r>
          </w:p>
        </w:tc>
        <w:tc>
          <w:tcPr>
            <w:tcW w:type="dxa" w:w="26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後任者</w:t>
            </w:r>
          </w:p>
        </w:tc>
        <w:tc>
          <w:tcPr>
            <w:tcW w:type="dxa" w:w="26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7438"/>
      </w:tblGrid>
      <w:tr>
        <w:trPr>
          <w:tblHeader/>
        </w:trPr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この引き継ぎ書の範囲</w:t>
            </w:r>
          </w:p>
        </w:tc>
        <w:tc>
          <w:tcPr>
            <w:tcW w:type="dxa" w:w="74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更新履歴（毎年1行ずつ足す）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本文はいつも最新版だけにする。変えた理由をここに残すと、後から「なぜこのやり方になったか」が追える。Wordの変更履歴は改訂中だけONにして、確認後に「すべて承認」→ここに1行。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1500"/>
        <w:gridCol w:w="3400"/>
        <w:gridCol w:w="3438"/>
      </w:tblGrid>
      <w:tr>
        <w:trPr>
          <w:tblHeader/>
        </w:trPr>
        <w:tc>
          <w:tcPr>
            <w:tcW w:type="dxa" w:w="1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年度</w:t>
            </w:r>
          </w:p>
        </w:tc>
        <w:tc>
          <w:tcPr>
            <w:tcW w:type="dxa" w:w="15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更新した人</w:t>
            </w:r>
          </w:p>
        </w:tc>
        <w:tc>
          <w:tcPr>
            <w:tcW w:type="dxa" w:w="34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何を変えた</w:t>
            </w:r>
          </w:p>
        </w:tc>
        <w:tc>
          <w:tcPr>
            <w:tcW w:type="dxa" w:w="34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なぜ変えた</w:t>
            </w:r>
          </w:p>
        </w:tc>
      </w:tr>
      <w:t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例：2025年度</w:t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〇〇</w:t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請求書発送に「金額の照合」を追加</w:t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前年に金額違いで再送が発生したため</w:t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5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① 業務の全体像と「なぜ」（業務ごとに1枚の記入表）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記入表はコピーして増やす。「なぜ（経緯）」が書けない手順は、やめてもいい候補。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7338"/>
      </w:tblGrid>
      <w:tr>
        <w:trPr>
          <w:tblHeader/>
        </w:trPr>
        <w:tc>
          <w:tcPr>
            <w:tcW w:type="dxa" w:w="2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業務記入表 1</w:t>
            </w:r>
          </w:p>
        </w:tc>
        <w:tc>
          <w:tcPr>
            <w:tcW w:type="dxa" w:w="73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記入欄（薄字の例を消して書く）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業務名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例：取引先への月次請求書の発送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いつ（発生のきっかけ・期日）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例：毎月20日の午前。前月分の売上が確定したら着手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何を（手順の要約・1行1動作）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例：①一覧を更新 ②請求書を出力 ③金額を台帳と照合 ④封入して発送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なぜ（目的）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例：取引先の支払サイトが月末締めのため、20日までに届ける必要がある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なぜ（経緯・この手順になった理由）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例：③の照合は2024年に金額違いで再送が起きてから追加した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終わった証拠（完了の条件）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例：台帳の件数と発送した封筒の数が一致し、台帳に発送日を入れたら完了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迷ったら（分岐・相談先）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例：金額が台帳と違う→経理の〇〇さんに確認。先方から未着の連絡→控えを再送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当事者メモ（担当者のクセ・先方の人柄・繁忙の山）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例：A社は担当者が毎年4月に変わるので宛名を要確認。3月は件数が2倍</w:t>
            </w:r>
          </w:p>
        </w:tc>
      </w:tr>
    </w:tbl>
    <w:p>
      <w:pPr>
        <w:spacing w:after="160"/>
      </w:pPr>
      <w:r>
        <w:rPr>
          <w:rFonts w:ascii="游ゴシック" w:cs="游ゴシック" w:eastAsia="游ゴシック" w:hAnsi="游ゴシック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7338"/>
      </w:tblGrid>
      <w:tr>
        <w:trPr>
          <w:tblHeader/>
        </w:trPr>
        <w:tc>
          <w:tcPr>
            <w:tcW w:type="dxa" w:w="2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業務記入表 2</w:t>
            </w:r>
          </w:p>
        </w:tc>
        <w:tc>
          <w:tcPr>
            <w:tcW w:type="dxa" w:w="73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記入欄（薄字の例を消して書く）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業務名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例：取引先への月次請求書の発送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いつ（発生のきっかけ・期日）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例：毎月20日の午前。前月分の売上が確定したら着手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何を（手順の要約・1行1動作）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例：①一覧を更新 ②請求書を出力 ③金額を台帳と照合 ④封入して発送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なぜ（目的）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例：取引先の支払サイトが月末締めのため、20日までに届ける必要がある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なぜ（経緯・この手順になった理由）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例：③の照合は2024年に金額違いで再送が起きてから追加した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終わった証拠（完了の条件）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例：台帳の件数と発送した封筒の数が一致し、台帳に発送日を入れたら完了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迷ったら（分岐・相談先）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例：金額が台帳と違う→経理の〇〇さんに確認。先方から未着の連絡→控えを再送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当事者メモ（担当者のクセ・先方の人柄・繁忙の山）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例：A社は担当者が毎年4月に変わるので宛名を要確認。3月は件数が2倍</w:t>
            </w:r>
          </w:p>
        </w:tc>
      </w:tr>
    </w:tbl>
    <w:p>
      <w:pPr>
        <w:spacing w:after="160"/>
      </w:pPr>
      <w:r>
        <w:rPr>
          <w:rFonts w:ascii="游ゴシック" w:cs="游ゴシック" w:eastAsia="游ゴシック" w:hAnsi="游ゴシック"/>
          <w:sz w:val="20"/>
          <w:szCs w:val="20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7338"/>
      </w:tblGrid>
      <w:tr>
        <w:trPr>
          <w:tblHeader/>
        </w:trPr>
        <w:tc>
          <w:tcPr>
            <w:tcW w:type="dxa" w:w="2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業務記入表 3</w:t>
            </w:r>
          </w:p>
        </w:tc>
        <w:tc>
          <w:tcPr>
            <w:tcW w:type="dxa" w:w="73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記入欄（薄字の例を消して書く）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業務名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例：取引先への月次請求書の発送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いつ（発生のきっかけ・期日）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例：毎月20日の午前。前月分の売上が確定したら着手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何を（手順の要約・1行1動作）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例：①一覧を更新 ②請求書を出力 ③金額を台帳と照合 ④封入して発送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なぜ（目的）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例：取引先の支払サイトが月末締めのため、20日までに届ける必要がある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なぜ（経緯・この手順になった理由）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例：③の照合は2024年に金額違いで再送が起きてから追加した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終わった証拠（完了の条件）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例：台帳の件数と発送した封筒の数が一致し、台帳に発送日を入れたら完了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迷ったら（分岐・相談先）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例：金額が台帳と違う→経理の〇〇さんに確認。先方から未着の連絡→控えを再送</w:t>
            </w:r>
          </w:p>
        </w:tc>
      </w:tr>
      <w:tr>
        <w:trPr>
          <w:trHeight w:val="700" w:hRule="atLeast"/>
        </w:trPr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7"/>
                <w:szCs w:val="17"/>
              </w:rPr>
              <w:t xml:space="preserve">当事者メモ（担当者のクセ・先方の人柄・繁忙の山）</w:t>
            </w:r>
          </w:p>
        </w:tc>
        <w:tc>
          <w:tcPr>
            <w:tcW w:type="dxa" w:w="7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例：A社は担当者が毎年4月に変わるので宛名を要確認。3月は件数が2倍</w:t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② 年間スケジュールと締切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月ごとの山を見えるようにする。「いつ」が抜けると、引き継いだ直後に締切を落とす。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3800"/>
        <w:gridCol w:w="2300"/>
        <w:gridCol w:w="2438"/>
      </w:tblGrid>
      <w:tr>
        <w:trPr>
          <w:tblHeader/>
        </w:trPr>
        <w:tc>
          <w:tcPr>
            <w:tcW w:type="dxa" w:w="11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月</w:t>
            </w:r>
          </w:p>
        </w:tc>
        <w:tc>
          <w:tcPr>
            <w:tcW w:type="dxa" w:w="38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発生する業務</w:t>
            </w:r>
          </w:p>
        </w:tc>
        <w:tc>
          <w:tcPr>
            <w:tcW w:type="dxa" w:w="2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締切・期日</w:t>
            </w:r>
          </w:p>
        </w:tc>
        <w:tc>
          <w:tcPr>
            <w:tcW w:type="dxa" w:w="24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注意点</w:t>
            </w:r>
          </w:p>
        </w:tc>
      </w:tr>
      <w:t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例：3月</w:t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年度末の請求書まとめ・契約更新の確認</w:t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3/25 / 3/31</w:t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件数が通常の2倍。2週間前に着手</w:t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③ 進捗・仕掛かり中の案件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引き継ぎ時点で途中のもの。「次にやること」まで書くと、後任が最初の一手で止まらない。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2400"/>
        <w:gridCol w:w="2400"/>
        <w:gridCol w:w="1100"/>
        <w:gridCol w:w="1138"/>
      </w:tblGrid>
      <w:tr>
        <w:trPr>
          <w:tblHeader/>
        </w:trPr>
        <w:tc>
          <w:tcPr>
            <w:tcW w:type="dxa" w:w="26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案件</w:t>
            </w:r>
          </w:p>
        </w:tc>
        <w:tc>
          <w:tcPr>
            <w:tcW w:type="dxa" w:w="24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現状</w:t>
            </w:r>
          </w:p>
        </w:tc>
        <w:tc>
          <w:tcPr>
            <w:tcW w:type="dxa" w:w="24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次にやること</w:t>
            </w:r>
          </w:p>
        </w:tc>
        <w:tc>
          <w:tcPr>
            <w:tcW w:type="dxa" w:w="11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期限</w:t>
            </w:r>
          </w:p>
        </w:tc>
        <w:tc>
          <w:tcPr>
            <w:tcW w:type="dxa" w:w="11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関係者</w:t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1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④ 年度別イレギュラー履歴（1年1行ずつ溜める）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1回書いて終わりにしない。毎年の「想定外」を足していくと、数年でこの引き継ぎ書が一番強い資料になる。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3000"/>
        <w:gridCol w:w="2800"/>
        <w:gridCol w:w="2538"/>
      </w:tblGrid>
      <w:tr>
        <w:trPr>
          <w:tblHeader/>
        </w:trPr>
        <w:tc>
          <w:tcPr>
            <w:tcW w:type="dxa" w:w="1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年度</w:t>
            </w:r>
          </w:p>
        </w:tc>
        <w:tc>
          <w:tcPr>
            <w:tcW w:type="dxa" w:w="30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起きたこと</w:t>
            </w:r>
          </w:p>
        </w:tc>
        <w:tc>
          <w:tcPr>
            <w:tcW w:type="dxa" w:w="28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どう対応したか</w:t>
            </w:r>
          </w:p>
        </w:tc>
        <w:tc>
          <w:tcPr>
            <w:tcW w:type="dxa" w:w="25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次に起きたらどうするか</w:t>
            </w:r>
          </w:p>
        </w:tc>
      </w:tr>
      <w:t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例：2024年度</w:t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取引先の担当者交代で請求書が未着に</w:t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控えを再送し、宛名を更新</w:t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4月の初回発送前に宛名を電話で確認</w:t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5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⑤ 口頭で言われたことのログ</w:t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上司や関係者から口頭で受けた指示・依頼・約束。文書に残っていない「決まりごと」はここに集める。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1700"/>
        <w:gridCol w:w="3300"/>
        <w:gridCol w:w="3338"/>
      </w:tblGrid>
      <w:tr>
        <w:trPr>
          <w:tblHeader/>
        </w:trPr>
        <w:tc>
          <w:tcPr>
            <w:tcW w:type="dxa" w:w="1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日付</w:t>
            </w:r>
          </w:p>
        </w:tc>
        <w:tc>
          <w:tcPr>
            <w:tcW w:type="dxa" w:w="17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誰から</w:t>
            </w:r>
          </w:p>
        </w:tc>
        <w:tc>
          <w:tcPr>
            <w:tcW w:type="dxa" w:w="33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言われたこと</w:t>
            </w:r>
          </w:p>
        </w:tc>
        <w:tc>
          <w:tcPr>
            <w:tcW w:type="dxa" w:w="33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どう対応した／引き継ぎ上の注意</w:t>
            </w:r>
          </w:p>
        </w:tc>
      </w:tr>
      <w:t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例：2025/6/3</w:t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課長</w:t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A社だけは請求書を担当者に直接メールで</w:t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以後メール送付。発送リストに印あり</w:t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33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⑥ データ・資料の保管場所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4000"/>
        <w:gridCol w:w="1400"/>
        <w:gridCol w:w="1638"/>
      </w:tblGrid>
      <w:tr>
        <w:trPr>
          <w:tblHeader/>
        </w:trPr>
        <w:tc>
          <w:tcPr>
            <w:tcW w:type="dxa" w:w="26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資料名</w:t>
            </w:r>
          </w:p>
        </w:tc>
        <w:tc>
          <w:tcPr>
            <w:tcW w:type="dxa" w:w="40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場所（フォルダのパス・棚の番号）</w:t>
            </w:r>
          </w:p>
        </w:tc>
        <w:tc>
          <w:tcPr>
            <w:tcW w:type="dxa" w:w="14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更新の頻度</w:t>
            </w:r>
          </w:p>
        </w:tc>
        <w:tc>
          <w:tcPr>
            <w:tcW w:type="dxa" w:w="16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備考</w:t>
            </w:r>
          </w:p>
        </w:tc>
      </w:tr>
      <w:t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例：請求書台帳</w:t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共有サーバ＞経理＞請求＞2025</w:t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毎月</w:t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前年分は「過去」フォルダ</w:t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26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40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pStyle w:val="Heading1"/>
        <w:spacing w:after="100" w:before="320"/>
      </w:pPr>
      <w:r>
        <w:rPr>
          <w:rFonts w:ascii="游ゴシック" w:cs="游ゴシック" w:eastAsia="游ゴシック" w:hAnsi="游ゴシック"/>
        </w:rPr>
        <w:t xml:space="preserve">⑦ 関係者と連絡先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1800"/>
        <w:gridCol w:w="2200"/>
        <w:gridCol w:w="2038"/>
      </w:tblGrid>
      <w:tr>
        <w:trPr>
          <w:tblHeader/>
        </w:trPr>
        <w:tc>
          <w:tcPr>
            <w:tcW w:type="dxa" w:w="1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社内／社外</w:t>
            </w:r>
          </w:p>
        </w:tc>
        <w:tc>
          <w:tcPr>
            <w:tcW w:type="dxa" w:w="24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部署・会社</w:t>
            </w:r>
          </w:p>
        </w:tc>
        <w:tc>
          <w:tcPr>
            <w:tcW w:type="dxa" w:w="18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氏名</w:t>
            </w:r>
          </w:p>
        </w:tc>
        <w:tc>
          <w:tcPr>
            <w:tcW w:type="dxa" w:w="2200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連絡先</w:t>
            </w:r>
          </w:p>
        </w:tc>
        <w:tc>
          <w:tcPr>
            <w:tcW w:type="dxa" w:w="2038"/>
            <w:shd w:fill="F5E6DE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/>
                <w:bCs/>
                <w:sz w:val="18"/>
                <w:szCs w:val="18"/>
              </w:rPr>
              <w:t xml:space="preserve">どんな時に連絡するか</w:t>
            </w:r>
          </w:p>
        </w:tc>
      </w:tr>
      <w:t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例：社外</w:t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A社 総務</w:t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〇〇様</w:t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xx-xxxx</w:t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color w:val="888888"/>
                <w:sz w:val="16"/>
                <w:szCs w:val="16"/>
              </w:rPr>
              <w:t xml:space="preserve">請求書の宛名変更・未着の確認</w:t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rHeight w:val="560" w:hRule="atLeast"/>
        </w:trPr>
        <w:tc>
          <w:tcPr>
            <w:tcW w:type="dxa" w:w="1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4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8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2038"/>
            <w:tcMar>
              <w:top w:type="dxa" w:w="70"/>
              <w:left w:type="dxa" w:w="100"/>
              <w:bottom w:type="dxa" w:w="70"/>
              <w:right w:type="dxa" w:w="100"/>
            </w:tcMar>
            <w:vAlign w:val="center"/>
          </w:tcPr>
          <w:p>
            <w:pPr>
              <w:spacing w:after="0"/>
            </w:pPr>
            <w:r>
              <w:rPr>
                <w:rFonts w:ascii="游ゴシック" w:cs="游ゴシック" w:eastAsia="游ゴシック" w:hAnsi="游ゴシック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</w:tbl>
    <w:p>
      <w:pPr>
        <w:spacing w:after="200"/>
      </w:pPr>
      <w:r>
        <w:rPr>
          <w:rFonts w:ascii="游ゴシック" w:cs="游ゴシック" w:eastAsia="游ゴシック" w:hAnsi="游ゴシック"/>
          <w:sz w:val="20"/>
          <w:szCs w:val="20"/>
        </w:rPr>
        <w:t xml:space="preserve"/>
      </w:r>
    </w:p>
    <w:p>
      <w:pPr>
        <w:spacing w:after="120"/>
      </w:pPr>
      <w:r>
        <w:rPr>
          <w:rFonts w:ascii="游ゴシック" w:cs="游ゴシック" w:eastAsia="游ゴシック" w:hAnsi="游ゴシック"/>
          <w:color w:val="5F7079"/>
          <w:sz w:val="17"/>
          <w:szCs w:val="17"/>
        </w:rPr>
        <w:t xml:space="preserve">このテンプレートは定時ダッシュ研究所（teiji-dash.com）の記事「引き継ぎ書の書き方」の配布物です。職場での利用・改変は自由です。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游ゴシック" w:cs="游ゴシック" w:eastAsia="游ゴシック" w:hAnsi="游ゴシック"/>
        <w:color w:val="5F7079"/>
        <w:sz w:val="16"/>
        <w:szCs w:val="16"/>
      </w:rPr>
      <w:t xml:space="preserve">業務引き継ぎ書テンプレート v1 ｜ 定時ダッシュ研究所 ｜ </w:t>
    </w:r>
    <w:r>
      <w:rPr>
        <w:rFonts w:ascii="游ゴシック" w:cs="游ゴシック" w:eastAsia="游ゴシック" w:hAnsi="游ゴシック"/>
        <w:color w:val="5F707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cs="游ゴシック" w:eastAsia="游ゴシック" w:hAnsi="游ゴシック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C75D3E" w:sz="6" w:space="2"/>
      </w:pBdr>
      <w:spacing w:after="100" w:before="320"/>
    </w:pPr>
    <w:rPr>
      <w:rFonts w:ascii="游ゴシック" w:cs="游ゴシック" w:eastAsia="游ゴシック" w:hAnsi="游ゴシック"/>
      <w:b/>
      <w:bCs/>
      <w:color w:val="C75D3E"/>
      <w:sz w:val="26"/>
      <w:szCs w:val="26"/>
    </w:rPr>
  </w:style>
  <w:style w:type="paragraph" w:styleId="Heading2">
    <w:name w:val="Heading 2"/>
    <w:basedOn w:val="Normal"/>
    <w:next w:val="Normal"/>
    <w:qFormat/>
    <w:pPr>
      <w:spacing w:after="80" w:before="200"/>
    </w:pPr>
    <w:rPr>
      <w:rFonts w:ascii="游ゴシック" w:cs="游ゴシック" w:eastAsia="游ゴシック" w:hAnsi="游ゴシック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定時ダッシュ研究所</dc:creator>
  <cp:lastModifiedBy>定時ダッシュ研究所</cp:lastModifiedBy>
  <cp:revision>1</cp:revision>
  <dcterms:created xsi:type="dcterms:W3CDTF">2026-08-23T14:39:26.789Z</dcterms:created>
  <dcterms:modified xsi:type="dcterms:W3CDTF">2026-08-23T14:39:26.790Z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